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0247D" w14:textId="77777777" w:rsidR="002F5371" w:rsidRPr="00483F2A" w:rsidRDefault="002F5371" w:rsidP="002F5371">
      <w:pPr>
        <w:pStyle w:val="Heading2"/>
        <w:rPr>
          <w:rFonts w:ascii="Arial (W1)" w:hAnsi="Arial (W1)"/>
          <w:b w:val="0"/>
          <w:bCs w:val="0"/>
          <w:color w:val="003366"/>
          <w:sz w:val="42"/>
        </w:rPr>
      </w:pPr>
    </w:p>
    <w:p w14:paraId="5D2486EE" w14:textId="77777777" w:rsidR="002F5371" w:rsidRDefault="002F5371" w:rsidP="002F5371">
      <w:pPr>
        <w:pStyle w:val="Heading1"/>
        <w:ind w:left="360"/>
        <w:rPr>
          <w:sz w:val="24"/>
        </w:rPr>
      </w:pPr>
    </w:p>
    <w:p w14:paraId="5D594927" w14:textId="77777777" w:rsidR="002F5371" w:rsidRPr="00EA1CC7" w:rsidRDefault="002F5371" w:rsidP="002F5371">
      <w:pPr>
        <w:rPr>
          <w:b/>
          <w:bCs/>
          <w:snapToGrid w:val="0"/>
        </w:rPr>
      </w:pPr>
      <w:r w:rsidRPr="00EA1CC7">
        <w:rPr>
          <w:b/>
        </w:rPr>
        <w:t>Incident Response Plan Introduction and Commentary</w:t>
      </w:r>
    </w:p>
    <w:p w14:paraId="45583E33" w14:textId="77777777" w:rsidR="002F5371" w:rsidRDefault="002F5371" w:rsidP="002F5371">
      <w:pPr>
        <w:pStyle w:val="BodyText"/>
        <w:rPr>
          <w:snapToGrid w:val="0"/>
        </w:rPr>
      </w:pPr>
    </w:p>
    <w:p w14:paraId="65570CFB" w14:textId="3BCE6B9D" w:rsidR="002F5371" w:rsidRDefault="002F5371" w:rsidP="002F5371">
      <w:pPr>
        <w:pStyle w:val="BodyText"/>
        <w:rPr>
          <w:snapToGrid w:val="0"/>
        </w:rPr>
      </w:pPr>
      <w:r>
        <w:rPr>
          <w:snapToGrid w:val="0"/>
        </w:rPr>
        <w:t xml:space="preserve">In accordance with industry ‘best </w:t>
      </w:r>
      <w:r w:rsidR="00CE31CE">
        <w:rPr>
          <w:snapToGrid w:val="0"/>
        </w:rPr>
        <w:t>practices’ and</w:t>
      </w:r>
      <w:r>
        <w:rPr>
          <w:snapToGrid w:val="0"/>
        </w:rPr>
        <w:t xml:space="preserve"> to comply with numerous compliance regulations, </w:t>
      </w:r>
      <w:r w:rsidR="00855FE4">
        <w:rPr>
          <w:snapToGrid w:val="0"/>
        </w:rPr>
        <w:t>(your company name here)</w:t>
      </w:r>
      <w:r>
        <w:rPr>
          <w:snapToGrid w:val="0"/>
        </w:rPr>
        <w:t xml:space="preserve"> has implemented various procedures, policies and guidelines in order to protect the confidentiality, integrity and availability (CIA) of their critical client data and their computing resources. This </w:t>
      </w:r>
      <w:r>
        <w:rPr>
          <w:u w:val="single"/>
        </w:rPr>
        <w:t>Incident Response Plan</w:t>
      </w:r>
      <w:r>
        <w:t xml:space="preserve"> is one such procedural document intended to prepare </w:t>
      </w:r>
      <w:r w:rsidR="00855FE4">
        <w:t>(your company name here)</w:t>
      </w:r>
      <w:r>
        <w:t xml:space="preserve"> to address security incidents. Regular testing and refinement of this plan will help </w:t>
      </w:r>
      <w:r w:rsidR="00855FE4">
        <w:t>(your company name here)</w:t>
      </w:r>
      <w:r>
        <w:t xml:space="preserve"> prepare for adverse security incidents and ultimately help them to manage and minimize risk. </w:t>
      </w:r>
    </w:p>
    <w:p w14:paraId="5799ECF2" w14:textId="77777777" w:rsidR="002F5371" w:rsidRDefault="002F5371" w:rsidP="002F5371">
      <w:pPr>
        <w:pStyle w:val="BodyText"/>
        <w:rPr>
          <w:snapToGrid w:val="0"/>
        </w:rPr>
      </w:pPr>
    </w:p>
    <w:p w14:paraId="4723F21B" w14:textId="77777777" w:rsidR="002F5371" w:rsidRDefault="002F5371" w:rsidP="002F5371">
      <w:pPr>
        <w:pStyle w:val="BodyText"/>
      </w:pPr>
      <w:r>
        <w:t>It is anticipated that as new technologies and new requirements are introduced this document will need to be modified and should be reviewed at least annually.  This function will be performed by members of the security team at the direction of the Chief Information Security Officer.</w:t>
      </w:r>
    </w:p>
    <w:p w14:paraId="490BC8C1" w14:textId="77777777" w:rsidR="002F5371" w:rsidRDefault="002F5371" w:rsidP="002F5371">
      <w:pPr>
        <w:pStyle w:val="BodyText"/>
        <w:rPr>
          <w:b/>
          <w:bCs/>
        </w:rPr>
      </w:pPr>
    </w:p>
    <w:p w14:paraId="642170DF" w14:textId="77777777" w:rsidR="002F5371" w:rsidRPr="00EA1CC7" w:rsidRDefault="002F5371" w:rsidP="002F5371">
      <w:pPr>
        <w:rPr>
          <w:b/>
          <w:bCs/>
          <w:snapToGrid w:val="0"/>
        </w:rPr>
      </w:pPr>
      <w:r w:rsidRPr="00EA1CC7">
        <w:rPr>
          <w:b/>
          <w:color w:val="003366"/>
        </w:rPr>
        <w:t xml:space="preserve"> </w:t>
      </w:r>
      <w:r w:rsidRPr="00EA1CC7">
        <w:rPr>
          <w:b/>
        </w:rPr>
        <w:t>Incident Response Plan Overview</w:t>
      </w:r>
    </w:p>
    <w:p w14:paraId="71F41644" w14:textId="77777777" w:rsidR="002F5371" w:rsidRDefault="002F5371" w:rsidP="002F5371">
      <w:pPr>
        <w:pStyle w:val="BodyText"/>
        <w:rPr>
          <w:snapToGrid w:val="0"/>
        </w:rPr>
      </w:pPr>
    </w:p>
    <w:p w14:paraId="3C072730" w14:textId="0BDBCFE1" w:rsidR="002F5371" w:rsidRDefault="002F5371" w:rsidP="002F5371">
      <w:pPr>
        <w:pStyle w:val="BodyText"/>
      </w:pPr>
      <w:r>
        <w:t xml:space="preserve">There are many different security incidents that can occur with assorted severity levels and not all incidents will require focus on each step.  </w:t>
      </w:r>
      <w:proofErr w:type="gramStart"/>
      <w:r>
        <w:t>However</w:t>
      </w:r>
      <w:proofErr w:type="gramEnd"/>
      <w:r>
        <w:t xml:space="preserve"> it is important to be prepared and understand that typically different phases exist in responding to an incident, and the goals and objectives of each phase.  The different phases of a security incident response plan at </w:t>
      </w:r>
      <w:r w:rsidR="00855FE4">
        <w:t>(your company name here)</w:t>
      </w:r>
      <w:r>
        <w:t xml:space="preserve"> are as follows:</w:t>
      </w:r>
    </w:p>
    <w:p w14:paraId="79773945" w14:textId="77777777" w:rsidR="002F5371" w:rsidRDefault="002F5371" w:rsidP="002F5371">
      <w:pPr>
        <w:pStyle w:val="BodyText"/>
      </w:pPr>
      <w:r>
        <w:t xml:space="preserve"> </w:t>
      </w:r>
    </w:p>
    <w:p w14:paraId="6DDD0E4A" w14:textId="77777777" w:rsidR="002F5371" w:rsidRDefault="002F5371" w:rsidP="002F5371">
      <w:pPr>
        <w:pStyle w:val="BodyText"/>
        <w:numPr>
          <w:ilvl w:val="0"/>
          <w:numId w:val="1"/>
        </w:numPr>
      </w:pPr>
      <w:r>
        <w:t>Prepare</w:t>
      </w:r>
    </w:p>
    <w:p w14:paraId="547A2165" w14:textId="77777777" w:rsidR="002F5371" w:rsidRDefault="002F5371" w:rsidP="002F5371">
      <w:pPr>
        <w:pStyle w:val="BodyText"/>
        <w:numPr>
          <w:ilvl w:val="0"/>
          <w:numId w:val="1"/>
        </w:numPr>
      </w:pPr>
      <w:r>
        <w:t>Identify</w:t>
      </w:r>
    </w:p>
    <w:p w14:paraId="6C600AE9" w14:textId="77777777" w:rsidR="002F5371" w:rsidRDefault="002F5371" w:rsidP="002F5371">
      <w:pPr>
        <w:pStyle w:val="BodyText"/>
        <w:numPr>
          <w:ilvl w:val="0"/>
          <w:numId w:val="1"/>
        </w:numPr>
      </w:pPr>
      <w:r>
        <w:t>Contain</w:t>
      </w:r>
    </w:p>
    <w:p w14:paraId="3B8F8A13" w14:textId="77777777" w:rsidR="002F5371" w:rsidRDefault="002F5371" w:rsidP="002F5371">
      <w:pPr>
        <w:pStyle w:val="BodyText"/>
        <w:numPr>
          <w:ilvl w:val="0"/>
          <w:numId w:val="1"/>
        </w:numPr>
      </w:pPr>
      <w:r>
        <w:t>Eradicate</w:t>
      </w:r>
    </w:p>
    <w:p w14:paraId="0CB0D771" w14:textId="77777777" w:rsidR="002F5371" w:rsidRDefault="002F5371" w:rsidP="002F5371">
      <w:pPr>
        <w:pStyle w:val="BodyText"/>
        <w:numPr>
          <w:ilvl w:val="0"/>
          <w:numId w:val="1"/>
        </w:numPr>
      </w:pPr>
      <w:r>
        <w:t xml:space="preserve">Recover </w:t>
      </w:r>
    </w:p>
    <w:p w14:paraId="7745CA09" w14:textId="77777777" w:rsidR="002F5371" w:rsidRDefault="002F5371" w:rsidP="002F5371">
      <w:pPr>
        <w:pStyle w:val="BodyText"/>
        <w:numPr>
          <w:ilvl w:val="0"/>
          <w:numId w:val="1"/>
        </w:numPr>
      </w:pPr>
      <w:r>
        <w:t>Review</w:t>
      </w:r>
    </w:p>
    <w:p w14:paraId="57AB98F8" w14:textId="77777777" w:rsidR="002F5371" w:rsidRDefault="002F5371" w:rsidP="002F5371">
      <w:pPr>
        <w:pStyle w:val="BodyText"/>
      </w:pPr>
    </w:p>
    <w:p w14:paraId="6D18436C" w14:textId="77777777" w:rsidR="002F5371" w:rsidRPr="00EA1CC7" w:rsidRDefault="002F5371" w:rsidP="002F5371">
      <w:pPr>
        <w:rPr>
          <w:b/>
          <w:snapToGrid w:val="0"/>
        </w:rPr>
      </w:pPr>
      <w:r w:rsidRPr="00EA1CC7">
        <w:rPr>
          <w:b/>
        </w:rPr>
        <w:t>Prepare</w:t>
      </w:r>
    </w:p>
    <w:p w14:paraId="56DF8490" w14:textId="77777777" w:rsidR="002F5371" w:rsidRDefault="002F5371" w:rsidP="002F5371">
      <w:pPr>
        <w:pStyle w:val="BodyText"/>
      </w:pPr>
    </w:p>
    <w:p w14:paraId="57ED6BBE" w14:textId="77777777" w:rsidR="002F5371" w:rsidRDefault="002F5371" w:rsidP="002F5371">
      <w:pPr>
        <w:pStyle w:val="BodyText"/>
      </w:pPr>
      <w:r>
        <w:t>In preparing for security incidents several items need to be addressed.</w:t>
      </w:r>
    </w:p>
    <w:p w14:paraId="4A4B3349" w14:textId="77777777" w:rsidR="002F5371" w:rsidRDefault="002F5371" w:rsidP="002F5371">
      <w:pPr>
        <w:pStyle w:val="BodyText"/>
        <w:numPr>
          <w:ilvl w:val="0"/>
          <w:numId w:val="2"/>
        </w:numPr>
      </w:pPr>
      <w:r>
        <w:t>Incident handling team should include security officers, system analysts and human resources personnel</w:t>
      </w:r>
    </w:p>
    <w:p w14:paraId="41FB5A80" w14:textId="0A95C473" w:rsidR="002F5371" w:rsidRDefault="002F5371" w:rsidP="002F5371">
      <w:pPr>
        <w:pStyle w:val="BodyText"/>
        <w:numPr>
          <w:ilvl w:val="0"/>
          <w:numId w:val="2"/>
        </w:numPr>
      </w:pPr>
      <w:r>
        <w:t xml:space="preserve">End users and analysts should be trained at an appropriate level. Login banner and warning messages should be posted.  </w:t>
      </w:r>
    </w:p>
    <w:p w14:paraId="62CBB850" w14:textId="77777777" w:rsidR="002F5371" w:rsidRDefault="002F5371" w:rsidP="002F5371">
      <w:pPr>
        <w:pStyle w:val="BodyText"/>
        <w:numPr>
          <w:ilvl w:val="0"/>
          <w:numId w:val="2"/>
        </w:numPr>
      </w:pPr>
      <w:r>
        <w:t>Contact information is included as an appendix to this document and should be available in hard copy for:</w:t>
      </w:r>
    </w:p>
    <w:p w14:paraId="3C6AD0C5" w14:textId="77777777" w:rsidR="002F5371" w:rsidRDefault="002F5371" w:rsidP="002F5371">
      <w:pPr>
        <w:pStyle w:val="BodyText"/>
        <w:numPr>
          <w:ilvl w:val="1"/>
          <w:numId w:val="2"/>
        </w:numPr>
      </w:pPr>
      <w:r>
        <w:t>personnel that might assist in handling an incident</w:t>
      </w:r>
    </w:p>
    <w:p w14:paraId="68D7EB22" w14:textId="77777777" w:rsidR="002F5371" w:rsidRDefault="002F5371" w:rsidP="002F5371">
      <w:pPr>
        <w:pStyle w:val="BodyText"/>
        <w:numPr>
          <w:ilvl w:val="1"/>
          <w:numId w:val="2"/>
        </w:numPr>
      </w:pPr>
      <w:r>
        <w:t>key partners who may need to be notified</w:t>
      </w:r>
    </w:p>
    <w:p w14:paraId="3E6461D3" w14:textId="77777777" w:rsidR="002F5371" w:rsidRDefault="002F5371" w:rsidP="002F5371">
      <w:pPr>
        <w:pStyle w:val="BodyText"/>
        <w:numPr>
          <w:ilvl w:val="1"/>
          <w:numId w:val="2"/>
        </w:numPr>
      </w:pPr>
      <w:r>
        <w:t>business owners to make key business decisions</w:t>
      </w:r>
    </w:p>
    <w:p w14:paraId="2C09B9C4" w14:textId="77777777" w:rsidR="002F5371" w:rsidRDefault="002F5371" w:rsidP="002F5371">
      <w:pPr>
        <w:pStyle w:val="BodyText"/>
        <w:numPr>
          <w:ilvl w:val="1"/>
          <w:numId w:val="2"/>
        </w:numPr>
      </w:pPr>
      <w:r>
        <w:t>outside support analysts with security expertise</w:t>
      </w:r>
    </w:p>
    <w:p w14:paraId="0C284D14" w14:textId="77777777" w:rsidR="002F5371" w:rsidRDefault="002F5371" w:rsidP="002F5371">
      <w:pPr>
        <w:pStyle w:val="BodyText"/>
        <w:numPr>
          <w:ilvl w:val="0"/>
          <w:numId w:val="2"/>
        </w:numPr>
      </w:pPr>
      <w:r>
        <w:lastRenderedPageBreak/>
        <w:t>Backups should be taken and tested!</w:t>
      </w:r>
    </w:p>
    <w:p w14:paraId="0121A693" w14:textId="77777777" w:rsidR="002F5371" w:rsidRDefault="002F5371" w:rsidP="002F5371">
      <w:pPr>
        <w:pStyle w:val="BodyText"/>
        <w:numPr>
          <w:ilvl w:val="0"/>
          <w:numId w:val="2"/>
        </w:numPr>
      </w:pPr>
      <w:r>
        <w:t>Supplies to assist the team in the event of an incident (sometimes referred to a jump bag)</w:t>
      </w:r>
    </w:p>
    <w:p w14:paraId="0300129F" w14:textId="77777777" w:rsidR="002F5371" w:rsidRDefault="002F5371" w:rsidP="002F5371">
      <w:pPr>
        <w:pStyle w:val="BodyText"/>
        <w:numPr>
          <w:ilvl w:val="1"/>
          <w:numId w:val="2"/>
        </w:numPr>
      </w:pPr>
      <w:r>
        <w:t>An empty notebook (Thorough documentation should be done throughout an incident to include hand written notes in a fresh notebook.)</w:t>
      </w:r>
    </w:p>
    <w:p w14:paraId="34D7209A" w14:textId="77777777" w:rsidR="002F5371" w:rsidRDefault="002F5371" w:rsidP="002F5371">
      <w:pPr>
        <w:pStyle w:val="BodyText"/>
        <w:numPr>
          <w:ilvl w:val="1"/>
          <w:numId w:val="2"/>
        </w:numPr>
      </w:pPr>
      <w:r>
        <w:t>Boot CDs to analyze hard drives and recover passwords</w:t>
      </w:r>
    </w:p>
    <w:p w14:paraId="3C0A73D2" w14:textId="77777777" w:rsidR="002F5371" w:rsidRDefault="002F5371" w:rsidP="002F5371">
      <w:pPr>
        <w:pStyle w:val="BodyText"/>
        <w:numPr>
          <w:ilvl w:val="1"/>
          <w:numId w:val="2"/>
        </w:numPr>
      </w:pPr>
      <w:r>
        <w:t>Petty cash (food, cabs, batteries as needed)</w:t>
      </w:r>
    </w:p>
    <w:p w14:paraId="780A0F7F" w14:textId="77777777" w:rsidR="002F5371" w:rsidRDefault="002F5371" w:rsidP="002F5371">
      <w:pPr>
        <w:pStyle w:val="BodyText"/>
      </w:pPr>
      <w:r>
        <w:tab/>
      </w:r>
    </w:p>
    <w:p w14:paraId="35017951" w14:textId="77777777" w:rsidR="002F5371" w:rsidRDefault="002F5371" w:rsidP="002F5371">
      <w:pPr>
        <w:pStyle w:val="Body"/>
        <w:rPr>
          <w:b/>
          <w:bCs/>
        </w:rPr>
      </w:pPr>
    </w:p>
    <w:p w14:paraId="1497EDC6" w14:textId="77777777" w:rsidR="002F5371" w:rsidRPr="00EA1CC7" w:rsidRDefault="002F5371" w:rsidP="002F5371">
      <w:pPr>
        <w:rPr>
          <w:b/>
          <w:bCs/>
          <w:snapToGrid w:val="0"/>
        </w:rPr>
      </w:pPr>
      <w:r w:rsidRPr="00EA1CC7">
        <w:rPr>
          <w:b/>
        </w:rPr>
        <w:t>Identify</w:t>
      </w:r>
    </w:p>
    <w:p w14:paraId="23897423" w14:textId="77777777" w:rsidR="002F5371" w:rsidRDefault="002F5371" w:rsidP="002F5371">
      <w:pPr>
        <w:pStyle w:val="Body"/>
      </w:pPr>
      <w:r>
        <w:t>Awareness that a security incident has occurred can originate from different sources such as technical people, end users or even clients.</w:t>
      </w:r>
    </w:p>
    <w:p w14:paraId="6B3926D3" w14:textId="77777777" w:rsidR="002F5371" w:rsidRDefault="002F5371" w:rsidP="002F5371">
      <w:pPr>
        <w:pStyle w:val="Body"/>
      </w:pPr>
      <w:r>
        <w:t xml:space="preserve">Best practices </w:t>
      </w:r>
      <w:proofErr w:type="gramStart"/>
      <w:r>
        <w:t>suggests</w:t>
      </w:r>
      <w:proofErr w:type="gramEnd"/>
      <w:r>
        <w:t xml:space="preserve"> to declare that an incident has occurred when security officers’ sense that an adverse risk to the company exists and then assemble the team and implement the plan.  It is also suggested to early on have multiple people involved, to save all key system files or records such as log files and start detailed documentation as soon as possible.</w:t>
      </w:r>
    </w:p>
    <w:p w14:paraId="0A934AC4" w14:textId="77777777" w:rsidR="002F5371" w:rsidRDefault="002F5371" w:rsidP="002F5371">
      <w:pPr>
        <w:pStyle w:val="Body"/>
      </w:pPr>
      <w:r>
        <w:t>Ultimately business owners need to be involved in many security incidents to decide what are the goals in handling a particular incident, such as immediate business recovery or forensic examination.</w:t>
      </w:r>
    </w:p>
    <w:p w14:paraId="4FA7FA13" w14:textId="77777777" w:rsidR="002F5371" w:rsidRDefault="002F5371" w:rsidP="002F5371">
      <w:pPr>
        <w:pStyle w:val="Body"/>
      </w:pPr>
    </w:p>
    <w:p w14:paraId="7A317F91" w14:textId="77777777" w:rsidR="002F5371" w:rsidRPr="00EA1CC7" w:rsidRDefault="002F5371" w:rsidP="002F5371">
      <w:pPr>
        <w:rPr>
          <w:b/>
          <w:snapToGrid w:val="0"/>
        </w:rPr>
      </w:pPr>
      <w:r w:rsidRPr="00EA1CC7">
        <w:rPr>
          <w:b/>
        </w:rPr>
        <w:t>Contain</w:t>
      </w:r>
    </w:p>
    <w:p w14:paraId="57F7E79E" w14:textId="3DCA3F1E" w:rsidR="002F5371" w:rsidRDefault="009D04C9" w:rsidP="009D04C9">
      <w:pPr>
        <w:pStyle w:val="Body"/>
        <w:jc w:val="left"/>
      </w:pPr>
      <w:r>
        <w:t>Following basic procedures can contain many incidents</w:t>
      </w:r>
      <w:r w:rsidR="002F5371">
        <w:t>.  Specific procedures will frequently depend on the nature of the incident</w:t>
      </w:r>
      <w:r>
        <w:t>,</w:t>
      </w:r>
      <w:r w:rsidR="002F5371">
        <w:t xml:space="preserve"> as well as the direction of the business owner.  Remember that a compromised machine might not present valid data! Basic steps to consider include:</w:t>
      </w:r>
    </w:p>
    <w:p w14:paraId="5C7D81AC" w14:textId="77777777" w:rsidR="002F5371" w:rsidRDefault="002F5371" w:rsidP="002F5371">
      <w:pPr>
        <w:pStyle w:val="Body"/>
        <w:numPr>
          <w:ilvl w:val="0"/>
          <w:numId w:val="3"/>
        </w:numPr>
      </w:pPr>
      <w:r>
        <w:t xml:space="preserve">Obtain and analyze as much system information as possible including key files and possibly a backup of the compromised machine for later forensic analysis.  </w:t>
      </w:r>
    </w:p>
    <w:p w14:paraId="55E48531" w14:textId="4F24A27A" w:rsidR="002F5371" w:rsidRDefault="002F5371" w:rsidP="002F5371">
      <w:pPr>
        <w:pStyle w:val="Body"/>
        <w:numPr>
          <w:ilvl w:val="0"/>
          <w:numId w:val="4"/>
        </w:numPr>
      </w:pPr>
      <w:r>
        <w:t xml:space="preserve">Powering off a machine might lose data and evidence.  Preferably </w:t>
      </w:r>
      <w:r w:rsidR="009D04C9">
        <w:t>disconnecting the</w:t>
      </w:r>
      <w:r>
        <w:t xml:space="preserve"> LAN cable facilitates containment and forensic activity. (Putting the computer on a separate network with a network analyzer might help analyzing network </w:t>
      </w:r>
      <w:r w:rsidR="009D04C9">
        <w:t>activity)</w:t>
      </w:r>
    </w:p>
    <w:p w14:paraId="3AD67D3F" w14:textId="77777777" w:rsidR="002F5371" w:rsidRDefault="002F5371" w:rsidP="002F5371">
      <w:pPr>
        <w:pStyle w:val="Body"/>
        <w:numPr>
          <w:ilvl w:val="0"/>
          <w:numId w:val="5"/>
        </w:numPr>
      </w:pPr>
      <w:r>
        <w:t>If one machine has been exploited others might be vulnerable.  Actions that might need to be taken on a large scale might include:</w:t>
      </w:r>
      <w:r>
        <w:tab/>
      </w:r>
    </w:p>
    <w:p w14:paraId="518FA890" w14:textId="77777777" w:rsidR="002F5371" w:rsidRDefault="002F5371" w:rsidP="002F5371">
      <w:pPr>
        <w:pStyle w:val="Body"/>
        <w:numPr>
          <w:ilvl w:val="2"/>
          <w:numId w:val="6"/>
        </w:numPr>
      </w:pPr>
      <w:r>
        <w:t>Download security patches from vendors</w:t>
      </w:r>
    </w:p>
    <w:p w14:paraId="0F426B84" w14:textId="77777777" w:rsidR="002F5371" w:rsidRDefault="002F5371" w:rsidP="002F5371">
      <w:pPr>
        <w:pStyle w:val="Body"/>
        <w:numPr>
          <w:ilvl w:val="2"/>
          <w:numId w:val="6"/>
        </w:numPr>
      </w:pPr>
      <w:r>
        <w:t>Update antivirus signatures</w:t>
      </w:r>
    </w:p>
    <w:p w14:paraId="02235A35" w14:textId="77777777" w:rsidR="002F5371" w:rsidRDefault="002F5371" w:rsidP="002F5371">
      <w:pPr>
        <w:pStyle w:val="Body"/>
        <w:numPr>
          <w:ilvl w:val="2"/>
          <w:numId w:val="6"/>
        </w:numPr>
      </w:pPr>
      <w:r>
        <w:t>Close firewall ports</w:t>
      </w:r>
    </w:p>
    <w:p w14:paraId="21486006" w14:textId="77777777" w:rsidR="002F5371" w:rsidRDefault="002F5371" w:rsidP="002F5371">
      <w:pPr>
        <w:pStyle w:val="Body"/>
        <w:numPr>
          <w:ilvl w:val="2"/>
          <w:numId w:val="6"/>
        </w:numPr>
      </w:pPr>
      <w:r>
        <w:t>Disable compromised accounts</w:t>
      </w:r>
    </w:p>
    <w:p w14:paraId="70988592" w14:textId="77777777" w:rsidR="002F5371" w:rsidRDefault="002F5371" w:rsidP="002F5371">
      <w:pPr>
        <w:pStyle w:val="Body"/>
        <w:numPr>
          <w:ilvl w:val="2"/>
          <w:numId w:val="6"/>
        </w:numPr>
      </w:pPr>
      <w:r>
        <w:t>Run vulnerability analyzers to see where other vulnerable hosts are</w:t>
      </w:r>
    </w:p>
    <w:p w14:paraId="26491625" w14:textId="77777777" w:rsidR="002F5371" w:rsidRDefault="002F5371" w:rsidP="002F5371">
      <w:pPr>
        <w:pStyle w:val="Body"/>
        <w:numPr>
          <w:ilvl w:val="2"/>
          <w:numId w:val="6"/>
        </w:numPr>
      </w:pPr>
      <w:r>
        <w:t>Change passwords as appropriate</w:t>
      </w:r>
    </w:p>
    <w:p w14:paraId="5CE356B1" w14:textId="77777777" w:rsidR="002F5371" w:rsidRDefault="002F5371" w:rsidP="002F5371">
      <w:pPr>
        <w:pStyle w:val="Body"/>
      </w:pPr>
    </w:p>
    <w:p w14:paraId="64B467D1" w14:textId="77777777" w:rsidR="00003B44" w:rsidRDefault="00003B44" w:rsidP="002F5371">
      <w:pPr>
        <w:pStyle w:val="Body"/>
      </w:pPr>
    </w:p>
    <w:p w14:paraId="1881A88F" w14:textId="77777777" w:rsidR="002F5371" w:rsidRPr="00EA1CC7" w:rsidRDefault="002F5371" w:rsidP="002F5371">
      <w:pPr>
        <w:rPr>
          <w:b/>
          <w:snapToGrid w:val="0"/>
        </w:rPr>
      </w:pPr>
      <w:r w:rsidRPr="00EA1CC7">
        <w:rPr>
          <w:b/>
        </w:rPr>
        <w:t>Eradicate</w:t>
      </w:r>
    </w:p>
    <w:p w14:paraId="412C2AC6" w14:textId="77777777" w:rsidR="002F5371" w:rsidRDefault="002F5371" w:rsidP="002F5371">
      <w:pPr>
        <w:pStyle w:val="Body"/>
      </w:pPr>
      <w:r>
        <w:t xml:space="preserve">To eradicate the problem specific procedures will frequently depend on the nature of the incident as well as the direction of the business owner.  Key considerations include:  </w:t>
      </w:r>
    </w:p>
    <w:p w14:paraId="5671C9F1" w14:textId="77777777" w:rsidR="002F5371" w:rsidRDefault="002F5371" w:rsidP="002F5371">
      <w:pPr>
        <w:pStyle w:val="Body"/>
        <w:numPr>
          <w:ilvl w:val="0"/>
          <w:numId w:val="7"/>
        </w:numPr>
      </w:pPr>
      <w:r>
        <w:lastRenderedPageBreak/>
        <w:t>Boot CDs should be used to access data on compromised machines.  (Rootkits installed on compromised machines might affect basic system level utilities and discourage use of a compromised host)</w:t>
      </w:r>
    </w:p>
    <w:p w14:paraId="665CFE7C" w14:textId="77777777" w:rsidR="002F5371" w:rsidRDefault="002F5371" w:rsidP="002F5371">
      <w:pPr>
        <w:pStyle w:val="Body"/>
        <w:numPr>
          <w:ilvl w:val="0"/>
          <w:numId w:val="8"/>
        </w:numPr>
      </w:pPr>
      <w:r>
        <w:t>If machines OS has been compromised it needs to be rebuilt using hardened machines on appropriate platforms</w:t>
      </w:r>
    </w:p>
    <w:p w14:paraId="189BD662" w14:textId="77777777" w:rsidR="002F5371" w:rsidRDefault="002F5371" w:rsidP="002F5371">
      <w:pPr>
        <w:pStyle w:val="Body"/>
        <w:numPr>
          <w:ilvl w:val="0"/>
          <w:numId w:val="9"/>
        </w:numPr>
      </w:pPr>
      <w:r>
        <w:t>Test any backups prior to restore and monitor for a new incident.</w:t>
      </w:r>
    </w:p>
    <w:p w14:paraId="2D7C2054" w14:textId="77777777" w:rsidR="002F5371" w:rsidRDefault="002F5371" w:rsidP="002F5371">
      <w:pPr>
        <w:pStyle w:val="Body"/>
        <w:numPr>
          <w:ilvl w:val="0"/>
          <w:numId w:val="9"/>
        </w:numPr>
      </w:pPr>
      <w:r>
        <w:t>Document everything.</w:t>
      </w:r>
    </w:p>
    <w:p w14:paraId="0DF10F3C" w14:textId="77777777" w:rsidR="002F5371" w:rsidRDefault="002F5371" w:rsidP="002F5371">
      <w:pPr>
        <w:pStyle w:val="Body"/>
      </w:pPr>
    </w:p>
    <w:p w14:paraId="73E226AB" w14:textId="77777777" w:rsidR="002F5371" w:rsidRPr="00EA1CC7" w:rsidRDefault="002F5371" w:rsidP="002F5371">
      <w:pPr>
        <w:rPr>
          <w:b/>
          <w:snapToGrid w:val="0"/>
        </w:rPr>
      </w:pPr>
      <w:r w:rsidRPr="00EA1CC7">
        <w:rPr>
          <w:b/>
        </w:rPr>
        <w:t>Recover</w:t>
      </w:r>
    </w:p>
    <w:p w14:paraId="45F25EF7" w14:textId="77777777" w:rsidR="002F5371" w:rsidRDefault="002F5371" w:rsidP="002F5371">
      <w:pPr>
        <w:pStyle w:val="Body"/>
      </w:pPr>
      <w:r>
        <w:t xml:space="preserve">The recovery phase’s goal is to return safely to production. Once again specific actions might depend on the nature of the incident as well as the direction of the business owner.  Key considerations include:  </w:t>
      </w:r>
    </w:p>
    <w:p w14:paraId="7E31F27B" w14:textId="77777777" w:rsidR="002F5371" w:rsidRDefault="002F5371" w:rsidP="002F5371">
      <w:pPr>
        <w:pStyle w:val="Body"/>
        <w:numPr>
          <w:ilvl w:val="0"/>
          <w:numId w:val="10"/>
        </w:numPr>
      </w:pPr>
      <w:r>
        <w:t>Retest the system preferably with a variety of end users.</w:t>
      </w:r>
    </w:p>
    <w:p w14:paraId="5D306732" w14:textId="77777777" w:rsidR="002F5371" w:rsidRDefault="002F5371" w:rsidP="002F5371">
      <w:pPr>
        <w:pStyle w:val="Body"/>
        <w:numPr>
          <w:ilvl w:val="0"/>
          <w:numId w:val="10"/>
        </w:numPr>
      </w:pPr>
      <w:r>
        <w:t>Consider timing of the return to production.</w:t>
      </w:r>
    </w:p>
    <w:p w14:paraId="24F3D596" w14:textId="77777777" w:rsidR="002F5371" w:rsidRDefault="002F5371" w:rsidP="002F5371">
      <w:pPr>
        <w:pStyle w:val="Body"/>
        <w:numPr>
          <w:ilvl w:val="0"/>
          <w:numId w:val="10"/>
        </w:numPr>
      </w:pPr>
      <w:r>
        <w:t>Discuss customer notification and their concerns</w:t>
      </w:r>
    </w:p>
    <w:p w14:paraId="3955AEF7" w14:textId="77777777" w:rsidR="002F5371" w:rsidRDefault="002F5371" w:rsidP="002F5371">
      <w:pPr>
        <w:pStyle w:val="Body"/>
        <w:numPr>
          <w:ilvl w:val="0"/>
          <w:numId w:val="10"/>
        </w:numPr>
      </w:pPr>
      <w:r>
        <w:t>Discuss media handling issues</w:t>
      </w:r>
    </w:p>
    <w:p w14:paraId="2725FA8C" w14:textId="77777777" w:rsidR="002F5371" w:rsidRDefault="002F5371" w:rsidP="002F5371">
      <w:pPr>
        <w:pStyle w:val="Body"/>
        <w:numPr>
          <w:ilvl w:val="0"/>
          <w:numId w:val="10"/>
        </w:numPr>
      </w:pPr>
      <w:r>
        <w:t>Continue to monitor for security incidents</w:t>
      </w:r>
    </w:p>
    <w:p w14:paraId="770984E7" w14:textId="77777777" w:rsidR="002F5371" w:rsidRDefault="002F5371" w:rsidP="002F5371">
      <w:pPr>
        <w:pStyle w:val="Body"/>
        <w:ind w:left="360"/>
      </w:pPr>
    </w:p>
    <w:p w14:paraId="433C8D06" w14:textId="77777777" w:rsidR="002F5371" w:rsidRPr="00EA1CC7" w:rsidRDefault="002F5371" w:rsidP="002F5371">
      <w:pPr>
        <w:rPr>
          <w:b/>
          <w:snapToGrid w:val="0"/>
        </w:rPr>
      </w:pPr>
      <w:r w:rsidRPr="00EA1CC7">
        <w:rPr>
          <w:b/>
        </w:rPr>
        <w:t>Review</w:t>
      </w:r>
    </w:p>
    <w:p w14:paraId="04FB09CE" w14:textId="68226B4E" w:rsidR="002F5371" w:rsidRDefault="002F5371" w:rsidP="00003B44">
      <w:pPr>
        <w:pStyle w:val="Body"/>
        <w:jc w:val="left"/>
      </w:pPr>
      <w:r>
        <w:t xml:space="preserve">This phase is to allow </w:t>
      </w:r>
      <w:r w:rsidR="00855FE4">
        <w:t>(your company name here)</w:t>
      </w:r>
      <w:r>
        <w:t xml:space="preserve"> to better handle future security incidents.  A final report should be written describing the </w:t>
      </w:r>
      <w:r w:rsidR="00003B44">
        <w:t>incident and how it was handled using the Incident reporting form.</w:t>
      </w:r>
      <w:r>
        <w:t xml:space="preserve">  Suggestions for handling future incidents and reworking this document should be included in this report.</w:t>
      </w:r>
    </w:p>
    <w:p w14:paraId="2DB3E985" w14:textId="77777777" w:rsidR="002F5371" w:rsidRDefault="002F5371" w:rsidP="00003B44">
      <w:pPr>
        <w:pStyle w:val="Body"/>
        <w:jc w:val="left"/>
      </w:pPr>
      <w:r>
        <w:tab/>
      </w:r>
    </w:p>
    <w:p w14:paraId="6A126A4E" w14:textId="77777777" w:rsidR="002F5371" w:rsidRDefault="002F5371" w:rsidP="002F5371">
      <w:pPr>
        <w:pStyle w:val="Body"/>
      </w:pPr>
      <w:r>
        <w:tab/>
      </w:r>
      <w:r>
        <w:tab/>
      </w:r>
    </w:p>
    <w:p w14:paraId="5F852E1E" w14:textId="77777777" w:rsidR="002F5371" w:rsidRPr="004770A9" w:rsidRDefault="002F5371" w:rsidP="002F5371">
      <w:pPr>
        <w:rPr>
          <w:rFonts w:ascii="Arial" w:hAnsi="Arial" w:cs="Arial"/>
        </w:rPr>
      </w:pPr>
      <w:r w:rsidRPr="004770A9">
        <w:rPr>
          <w:rFonts w:ascii="Arial" w:hAnsi="Arial" w:cs="Arial"/>
          <w:b/>
        </w:rPr>
        <w:br w:type="page"/>
      </w:r>
      <w:r w:rsidRPr="004770A9">
        <w:rPr>
          <w:rFonts w:ascii="Arial" w:hAnsi="Arial" w:cs="Arial"/>
          <w:b/>
        </w:rPr>
        <w:lastRenderedPageBreak/>
        <w:t xml:space="preserve">Contact information </w:t>
      </w:r>
    </w:p>
    <w:p w14:paraId="13471170" w14:textId="77777777" w:rsidR="002F5371" w:rsidRPr="004770A9" w:rsidRDefault="002F5371" w:rsidP="002F5371">
      <w:pPr>
        <w:pStyle w:val="BodyText"/>
        <w:rPr>
          <w:sz w:val="22"/>
        </w:rPr>
      </w:pPr>
    </w:p>
    <w:p w14:paraId="2874B5AE" w14:textId="77777777" w:rsidR="002F5371" w:rsidRPr="004770A9" w:rsidRDefault="002F5371" w:rsidP="002F5371">
      <w:pPr>
        <w:pStyle w:val="BodyText"/>
        <w:numPr>
          <w:ilvl w:val="0"/>
          <w:numId w:val="11"/>
        </w:numPr>
        <w:tabs>
          <w:tab w:val="num" w:pos="360"/>
        </w:tabs>
        <w:ind w:left="360"/>
        <w:rPr>
          <w:rFonts w:ascii="Arial" w:hAnsi="Arial" w:cs="Arial"/>
          <w:sz w:val="22"/>
          <w:szCs w:val="22"/>
        </w:rPr>
      </w:pPr>
      <w:r w:rsidRPr="004770A9">
        <w:rPr>
          <w:rFonts w:ascii="Arial" w:hAnsi="Arial" w:cs="Arial"/>
          <w:sz w:val="22"/>
          <w:szCs w:val="22"/>
        </w:rPr>
        <w:t>Personnel that might assist in handling an incident</w:t>
      </w:r>
    </w:p>
    <w:p w14:paraId="206A8C56" w14:textId="77777777" w:rsidR="002F5371" w:rsidRPr="004770A9" w:rsidRDefault="002F5371" w:rsidP="002F5371">
      <w:pPr>
        <w:pStyle w:val="BodyText"/>
        <w:rPr>
          <w:rFonts w:ascii="Arial" w:hAnsi="Arial" w:cs="Arial"/>
          <w:sz w:val="22"/>
          <w:szCs w:val="22"/>
        </w:rPr>
      </w:pPr>
    </w:p>
    <w:p w14:paraId="32967498" w14:textId="77777777" w:rsidR="002F5371" w:rsidRPr="004770A9" w:rsidRDefault="002F5371" w:rsidP="002F5371">
      <w:pPr>
        <w:pStyle w:val="BodyText"/>
        <w:rPr>
          <w:rFonts w:ascii="Arial" w:hAnsi="Arial" w:cs="Arial"/>
          <w:sz w:val="22"/>
          <w:szCs w:val="22"/>
        </w:rPr>
      </w:pPr>
    </w:p>
    <w:p w14:paraId="5103AB48" w14:textId="77777777" w:rsidR="002F5371" w:rsidRPr="004770A9" w:rsidRDefault="002F5371" w:rsidP="002F5371">
      <w:pPr>
        <w:pStyle w:val="BodyText"/>
        <w:numPr>
          <w:ilvl w:val="0"/>
          <w:numId w:val="11"/>
        </w:numPr>
        <w:tabs>
          <w:tab w:val="num" w:pos="360"/>
        </w:tabs>
        <w:ind w:left="360"/>
        <w:rPr>
          <w:rFonts w:ascii="Arial" w:hAnsi="Arial" w:cs="Arial"/>
          <w:sz w:val="22"/>
          <w:szCs w:val="22"/>
        </w:rPr>
      </w:pPr>
      <w:r w:rsidRPr="004770A9">
        <w:rPr>
          <w:rFonts w:ascii="Arial" w:hAnsi="Arial" w:cs="Arial"/>
          <w:sz w:val="22"/>
          <w:szCs w:val="22"/>
        </w:rPr>
        <w:t>Key partners who may need to be notified</w:t>
      </w:r>
    </w:p>
    <w:p w14:paraId="14CECE9D" w14:textId="77777777" w:rsidR="002F5371" w:rsidRPr="004770A9" w:rsidRDefault="002F5371" w:rsidP="002F5371">
      <w:pPr>
        <w:pStyle w:val="BodyText"/>
        <w:ind w:left="1080"/>
        <w:rPr>
          <w:rFonts w:ascii="Arial" w:hAnsi="Arial" w:cs="Arial"/>
          <w:sz w:val="22"/>
          <w:szCs w:val="22"/>
        </w:rPr>
      </w:pPr>
    </w:p>
    <w:p w14:paraId="5CD90E43" w14:textId="77777777" w:rsidR="002F5371" w:rsidRPr="004770A9" w:rsidRDefault="002F5371" w:rsidP="002F5371">
      <w:pPr>
        <w:pStyle w:val="BodyText"/>
        <w:ind w:left="1080"/>
        <w:rPr>
          <w:rFonts w:ascii="Arial" w:hAnsi="Arial" w:cs="Arial"/>
          <w:sz w:val="22"/>
          <w:szCs w:val="22"/>
        </w:rPr>
      </w:pPr>
    </w:p>
    <w:p w14:paraId="0E050725" w14:textId="77777777" w:rsidR="002F5371" w:rsidRPr="004770A9" w:rsidRDefault="002F5371" w:rsidP="002F5371">
      <w:pPr>
        <w:pStyle w:val="BodyText"/>
        <w:numPr>
          <w:ilvl w:val="0"/>
          <w:numId w:val="11"/>
        </w:numPr>
        <w:tabs>
          <w:tab w:val="num" w:pos="360"/>
        </w:tabs>
        <w:ind w:left="360"/>
        <w:rPr>
          <w:rFonts w:ascii="Arial" w:hAnsi="Arial" w:cs="Arial"/>
          <w:sz w:val="22"/>
          <w:szCs w:val="22"/>
        </w:rPr>
      </w:pPr>
      <w:r w:rsidRPr="004770A9">
        <w:rPr>
          <w:rFonts w:ascii="Arial" w:hAnsi="Arial" w:cs="Arial"/>
          <w:sz w:val="22"/>
          <w:szCs w:val="22"/>
        </w:rPr>
        <w:t>Business owners to make key business decisions</w:t>
      </w:r>
    </w:p>
    <w:p w14:paraId="71EFD202" w14:textId="77777777" w:rsidR="002F5371" w:rsidRPr="004770A9" w:rsidRDefault="002F5371" w:rsidP="002F5371">
      <w:pPr>
        <w:pStyle w:val="BodyText"/>
        <w:tabs>
          <w:tab w:val="num" w:pos="1080"/>
          <w:tab w:val="num" w:pos="1800"/>
        </w:tabs>
        <w:ind w:left="1080"/>
        <w:rPr>
          <w:rFonts w:ascii="Arial" w:hAnsi="Arial" w:cs="Arial"/>
          <w:sz w:val="22"/>
          <w:szCs w:val="22"/>
          <w:lang w:val="es-ES_tradnl"/>
        </w:rPr>
      </w:pPr>
    </w:p>
    <w:p w14:paraId="18588014" w14:textId="77777777" w:rsidR="002F5371" w:rsidRPr="004770A9" w:rsidRDefault="002F5371" w:rsidP="002F5371">
      <w:pPr>
        <w:pStyle w:val="BodyText"/>
        <w:tabs>
          <w:tab w:val="num" w:pos="1080"/>
          <w:tab w:val="num" w:pos="1800"/>
        </w:tabs>
        <w:ind w:left="1080"/>
        <w:rPr>
          <w:rFonts w:ascii="Arial" w:hAnsi="Arial" w:cs="Arial"/>
          <w:sz w:val="22"/>
          <w:szCs w:val="22"/>
          <w:lang w:val="es-ES_tradnl"/>
        </w:rPr>
      </w:pPr>
    </w:p>
    <w:p w14:paraId="163641BB" w14:textId="77777777" w:rsidR="002F5371" w:rsidRPr="004770A9" w:rsidRDefault="002F5371" w:rsidP="002F5371">
      <w:pPr>
        <w:pStyle w:val="BodyText"/>
        <w:numPr>
          <w:ilvl w:val="0"/>
          <w:numId w:val="11"/>
        </w:numPr>
        <w:tabs>
          <w:tab w:val="clear" w:pos="720"/>
          <w:tab w:val="num" w:pos="360"/>
          <w:tab w:val="num" w:pos="1800"/>
        </w:tabs>
        <w:ind w:left="360"/>
        <w:rPr>
          <w:rFonts w:ascii="Arial" w:hAnsi="Arial" w:cs="Arial"/>
          <w:sz w:val="22"/>
          <w:szCs w:val="22"/>
        </w:rPr>
      </w:pPr>
      <w:r w:rsidRPr="004770A9">
        <w:rPr>
          <w:rFonts w:ascii="Arial" w:hAnsi="Arial" w:cs="Arial"/>
          <w:sz w:val="22"/>
          <w:szCs w:val="22"/>
        </w:rPr>
        <w:t>Outside support analysts with security expertise</w:t>
      </w:r>
    </w:p>
    <w:p w14:paraId="3A845AD5" w14:textId="77777777" w:rsidR="002F5371" w:rsidRPr="004770A9" w:rsidRDefault="002F5371" w:rsidP="002F5371">
      <w:pPr>
        <w:pStyle w:val="BodyText"/>
        <w:rPr>
          <w:rFonts w:ascii="Arial" w:hAnsi="Arial" w:cs="Arial"/>
          <w:sz w:val="22"/>
          <w:szCs w:val="22"/>
        </w:rPr>
      </w:pPr>
    </w:p>
    <w:p w14:paraId="029D6431" w14:textId="77777777" w:rsidR="002F5371" w:rsidRPr="004770A9" w:rsidRDefault="002F5371" w:rsidP="002F5371">
      <w:pPr>
        <w:pStyle w:val="BodyText"/>
        <w:rPr>
          <w:rFonts w:ascii="Arial" w:hAnsi="Arial" w:cs="Arial"/>
          <w:sz w:val="22"/>
          <w:szCs w:val="22"/>
        </w:rPr>
      </w:pPr>
    </w:p>
    <w:p w14:paraId="6B1951DD" w14:textId="77777777" w:rsidR="002F5371" w:rsidRPr="004770A9" w:rsidRDefault="002F5371" w:rsidP="002F5371">
      <w:pPr>
        <w:pStyle w:val="BodyText"/>
        <w:rPr>
          <w:rFonts w:ascii="Arial" w:hAnsi="Arial" w:cs="Arial"/>
          <w:sz w:val="22"/>
          <w:szCs w:val="22"/>
        </w:rPr>
      </w:pPr>
      <w:r w:rsidRPr="004770A9">
        <w:rPr>
          <w:rFonts w:ascii="Arial" w:hAnsi="Arial" w:cs="Arial"/>
          <w:sz w:val="22"/>
          <w:szCs w:val="22"/>
        </w:rPr>
        <w:t>Additional service provider contacts</w:t>
      </w:r>
    </w:p>
    <w:p w14:paraId="45666F9E" w14:textId="77777777" w:rsidR="002F5371" w:rsidRDefault="002F5371" w:rsidP="002F5371">
      <w:pPr>
        <w:pStyle w:val="Body"/>
      </w:pPr>
    </w:p>
    <w:p w14:paraId="05D4D333" w14:textId="77777777" w:rsidR="002F5371" w:rsidRDefault="002F5371" w:rsidP="002F5371"/>
    <w:p w14:paraId="50B6F3FD" w14:textId="77777777" w:rsidR="00766B8F" w:rsidRDefault="00766B8F"/>
    <w:sectPr w:rsidR="00766B8F" w:rsidSect="007917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FF55C" w14:textId="77777777" w:rsidR="00F5188C" w:rsidRDefault="00F5188C" w:rsidP="002F5371">
      <w:r>
        <w:separator/>
      </w:r>
    </w:p>
  </w:endnote>
  <w:endnote w:type="continuationSeparator" w:id="0">
    <w:p w14:paraId="798BE728" w14:textId="77777777" w:rsidR="00F5188C" w:rsidRDefault="00F5188C" w:rsidP="002F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1)">
    <w:altName w:val="Cambri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42DB" w14:textId="77777777" w:rsidR="00600395" w:rsidRDefault="00600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4583" w14:textId="77777777" w:rsidR="007917B1" w:rsidRPr="00E711AA" w:rsidRDefault="007917B1" w:rsidP="007917B1">
    <w:pPr>
      <w:pStyle w:val="Footer"/>
      <w:rPr>
        <w:rFonts w:ascii="Georgia" w:hAnsi="Georgia"/>
        <w:color w:val="003366"/>
      </w:rPr>
    </w:pPr>
    <w:r>
      <w:rPr>
        <w:rFonts w:ascii="Georgia" w:hAnsi="Georgia"/>
        <w:noProof/>
        <w:sz w:val="16"/>
      </w:rPr>
      <mc:AlternateContent>
        <mc:Choice Requires="wps">
          <w:drawing>
            <wp:anchor distT="0" distB="0" distL="114300" distR="114300" simplePos="0" relativeHeight="251662336" behindDoc="0" locked="0" layoutInCell="1" allowOverlap="1" wp14:anchorId="441EC5D2" wp14:editId="6B97F45C">
              <wp:simplePos x="0" y="0"/>
              <wp:positionH relativeFrom="column">
                <wp:posOffset>4689475</wp:posOffset>
              </wp:positionH>
              <wp:positionV relativeFrom="paragraph">
                <wp:posOffset>120015</wp:posOffset>
              </wp:positionV>
              <wp:extent cx="102870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D88283" w14:textId="77777777" w:rsidR="007917B1" w:rsidRPr="00EC2012" w:rsidRDefault="007917B1" w:rsidP="007917B1">
                          <w:pPr>
                            <w:rPr>
                              <w:szCs w:val="20"/>
                            </w:rPr>
                          </w:pPr>
                        </w:p>
                      </w:txbxContent>
                    </wps:txbx>
                    <wps:bodyPr rot="0" vert="horz" wrap="square" lIns="0" tIns="82296"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margin-left:369.25pt;margin-top:9.4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" filled="f" stroked="f">
              <v:textbox inset="0,6.48pt,0,0">
                <w:txbxContent>
                  <w:p w14:paraId="14D88283" w14:textId="77777777" w:rsidR="00575C29" w:rsidRPr="00EC2012" w:rsidRDefault="00633EA5" w:rsidP="00ED7725">
                    <w:pPr>
                      <w:rPr>
                        <w:szCs w:val="20"/>
                      </w:rPr>
                    </w:pPr>
                  </w:p>
                </w:txbxContent>
              </v:textbox>
            </v:shape>
          </w:pict>
        </mc:Fallback>
      </mc:AlternateContent>
    </w:r>
  </w:p>
  <w:tbl>
    <w:tblPr>
      <w:tblpPr w:leftFromText="180" w:rightFromText="180" w:vertAnchor="text" w:tblpXSpec="center" w:tblpY="1"/>
      <w:tblOverlap w:val="never"/>
      <w:tblW w:w="9648" w:type="dxa"/>
      <w:jc w:val="center"/>
      <w:tblLayout w:type="fixed"/>
      <w:tblLook w:val="0000" w:firstRow="0" w:lastRow="0" w:firstColumn="0" w:lastColumn="0" w:noHBand="0" w:noVBand="0"/>
    </w:tblPr>
    <w:tblGrid>
      <w:gridCol w:w="2430"/>
      <w:gridCol w:w="3060"/>
      <w:gridCol w:w="4158"/>
    </w:tblGrid>
    <w:tr w:rsidR="007917B1" w14:paraId="43B84A19" w14:textId="77777777" w:rsidTr="007917B1">
      <w:trPr>
        <w:cantSplit/>
        <w:trHeight w:val="169"/>
        <w:jc w:val="center"/>
      </w:trPr>
      <w:tc>
        <w:tcPr>
          <w:tcW w:w="2430" w:type="dxa"/>
          <w:shd w:val="pct12" w:color="auto" w:fill="auto"/>
          <w:vAlign w:val="center"/>
        </w:tcPr>
        <w:p w14:paraId="233E7AD3" w14:textId="77777777" w:rsidR="007917B1" w:rsidRDefault="007917B1" w:rsidP="007917B1">
          <w:pPr>
            <w:rPr>
              <w:i/>
              <w:iCs/>
              <w:sz w:val="20"/>
            </w:rPr>
          </w:pPr>
          <w:r>
            <w:rPr>
              <w:i/>
              <w:iCs/>
              <w:sz w:val="20"/>
            </w:rPr>
            <w:t>ISP Version # 1.0</w:t>
          </w:r>
        </w:p>
      </w:tc>
      <w:tc>
        <w:tcPr>
          <w:tcW w:w="3060" w:type="dxa"/>
          <w:shd w:val="pct12" w:color="auto" w:fill="auto"/>
          <w:vAlign w:val="center"/>
        </w:tcPr>
        <w:p w14:paraId="2EFAA807" w14:textId="77777777" w:rsidR="007917B1" w:rsidRDefault="007917B1" w:rsidP="007917B1">
          <w:pPr>
            <w:jc w:val="center"/>
            <w:rPr>
              <w:b/>
              <w:bCs/>
              <w:i/>
              <w:iCs/>
              <w:sz w:val="20"/>
            </w:rPr>
          </w:pPr>
        </w:p>
      </w:tc>
      <w:tc>
        <w:tcPr>
          <w:tcW w:w="4158" w:type="dxa"/>
          <w:shd w:val="pct12" w:color="auto" w:fill="auto"/>
          <w:vAlign w:val="center"/>
        </w:tcPr>
        <w:p w14:paraId="610CD0EF" w14:textId="77777777" w:rsidR="007917B1" w:rsidRDefault="007917B1" w:rsidP="007917B1">
          <w:pPr>
            <w:jc w:val="right"/>
            <w:rPr>
              <w:i/>
              <w:iCs/>
              <w:sz w:val="20"/>
            </w:rPr>
          </w:pPr>
          <w:r>
            <w:rPr>
              <w:i/>
              <w:iCs/>
              <w:sz w:val="20"/>
            </w:rPr>
            <w:t>Confidential - Internal Use Only</w:t>
          </w:r>
        </w:p>
      </w:tc>
    </w:tr>
    <w:tr w:rsidR="007917B1" w14:paraId="7903E77F" w14:textId="77777777" w:rsidTr="007917B1">
      <w:trPr>
        <w:cantSplit/>
        <w:trHeight w:val="100"/>
        <w:jc w:val="center"/>
      </w:trPr>
      <w:tc>
        <w:tcPr>
          <w:tcW w:w="2430" w:type="dxa"/>
          <w:shd w:val="pct12" w:color="auto" w:fill="auto"/>
          <w:vAlign w:val="center"/>
        </w:tcPr>
        <w:p w14:paraId="0FFF82CB" w14:textId="77777777" w:rsidR="007917B1" w:rsidRDefault="007917B1" w:rsidP="007917B1">
          <w:pPr>
            <w:rPr>
              <w:b/>
              <w:i/>
              <w:iCs/>
              <w:sz w:val="20"/>
            </w:rPr>
          </w:pPr>
        </w:p>
      </w:tc>
      <w:tc>
        <w:tcPr>
          <w:tcW w:w="3060" w:type="dxa"/>
          <w:shd w:val="pct12" w:color="auto" w:fill="auto"/>
          <w:vAlign w:val="center"/>
        </w:tcPr>
        <w:p w14:paraId="584953D3" w14:textId="77777777" w:rsidR="007917B1" w:rsidRDefault="007917B1" w:rsidP="007917B1">
          <w:pPr>
            <w:rPr>
              <w:b/>
              <w:i/>
              <w:iCs/>
              <w:sz w:val="20"/>
            </w:rPr>
          </w:pPr>
        </w:p>
      </w:tc>
      <w:tc>
        <w:tcPr>
          <w:tcW w:w="4158" w:type="dxa"/>
          <w:shd w:val="pct12" w:color="auto" w:fill="auto"/>
          <w:vAlign w:val="center"/>
        </w:tcPr>
        <w:p w14:paraId="1021BAB2" w14:textId="77777777" w:rsidR="007917B1" w:rsidRDefault="007917B1" w:rsidP="007917B1">
          <w:pPr>
            <w:jc w:val="right"/>
            <w:rPr>
              <w:i/>
              <w:iCs/>
              <w:sz w:val="20"/>
            </w:rPr>
          </w:pPr>
          <w:r>
            <w:rPr>
              <w:i/>
              <w:iCs/>
              <w:sz w:val="20"/>
            </w:rPr>
            <w:t xml:space="preserve">Page </w:t>
          </w:r>
          <w:r>
            <w:rPr>
              <w:i/>
              <w:iCs/>
              <w:sz w:val="20"/>
            </w:rPr>
            <w:fldChar w:fldCharType="begin"/>
          </w:r>
          <w:r>
            <w:rPr>
              <w:i/>
              <w:iCs/>
              <w:sz w:val="20"/>
            </w:rPr>
            <w:instrText xml:space="preserve"> PAGE </w:instrText>
          </w:r>
          <w:r>
            <w:rPr>
              <w:i/>
              <w:iCs/>
              <w:sz w:val="20"/>
            </w:rPr>
            <w:fldChar w:fldCharType="separate"/>
          </w:r>
          <w:r w:rsidR="00066898">
            <w:rPr>
              <w:i/>
              <w:iCs/>
              <w:noProof/>
              <w:sz w:val="20"/>
            </w:rPr>
            <w:t>4</w:t>
          </w:r>
          <w:r>
            <w:rPr>
              <w:i/>
              <w:iCs/>
              <w:sz w:val="20"/>
            </w:rPr>
            <w:fldChar w:fldCharType="end"/>
          </w:r>
          <w:r>
            <w:rPr>
              <w:i/>
              <w:iCs/>
              <w:sz w:val="20"/>
            </w:rPr>
            <w:t xml:space="preserve"> of </w:t>
          </w:r>
          <w:r>
            <w:rPr>
              <w:i/>
              <w:iCs/>
              <w:sz w:val="20"/>
            </w:rPr>
            <w:fldChar w:fldCharType="begin"/>
          </w:r>
          <w:r>
            <w:rPr>
              <w:i/>
              <w:iCs/>
              <w:sz w:val="20"/>
            </w:rPr>
            <w:instrText xml:space="preserve"> NUMPAGES </w:instrText>
          </w:r>
          <w:r>
            <w:rPr>
              <w:i/>
              <w:iCs/>
              <w:sz w:val="20"/>
            </w:rPr>
            <w:fldChar w:fldCharType="separate"/>
          </w:r>
          <w:r w:rsidR="00066898">
            <w:rPr>
              <w:i/>
              <w:iCs/>
              <w:noProof/>
              <w:sz w:val="20"/>
            </w:rPr>
            <w:t>4</w:t>
          </w:r>
          <w:r>
            <w:rPr>
              <w:i/>
              <w:iCs/>
              <w:sz w:val="20"/>
            </w:rPr>
            <w:fldChar w:fldCharType="end"/>
          </w:r>
        </w:p>
      </w:tc>
    </w:tr>
  </w:tbl>
  <w:p w14:paraId="25D4F31E" w14:textId="77777777" w:rsidR="007917B1" w:rsidRPr="00E711AA" w:rsidRDefault="007917B1" w:rsidP="002F5371">
    <w:pPr>
      <w:pStyle w:val="Footer"/>
      <w:tabs>
        <w:tab w:val="left" w:pos="390"/>
      </w:tabs>
      <w:rPr>
        <w:rFonts w:ascii="Georgia" w:hAnsi="Georgia"/>
        <w:color w:val="0033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9648" w:type="dxa"/>
      <w:jc w:val="center"/>
      <w:tblLayout w:type="fixed"/>
      <w:tblLook w:val="0000" w:firstRow="0" w:lastRow="0" w:firstColumn="0" w:lastColumn="0" w:noHBand="0" w:noVBand="0"/>
    </w:tblPr>
    <w:tblGrid>
      <w:gridCol w:w="2430"/>
      <w:gridCol w:w="3060"/>
      <w:gridCol w:w="4158"/>
    </w:tblGrid>
    <w:tr w:rsidR="007917B1" w14:paraId="5129BD17" w14:textId="77777777" w:rsidTr="007917B1">
      <w:trPr>
        <w:cantSplit/>
        <w:trHeight w:val="169"/>
        <w:jc w:val="center"/>
      </w:trPr>
      <w:tc>
        <w:tcPr>
          <w:tcW w:w="2430" w:type="dxa"/>
          <w:shd w:val="pct12" w:color="auto" w:fill="auto"/>
          <w:vAlign w:val="center"/>
        </w:tcPr>
        <w:p w14:paraId="7212A482" w14:textId="44DFF731" w:rsidR="007917B1" w:rsidRDefault="007917B1" w:rsidP="007917B1">
          <w:pPr>
            <w:rPr>
              <w:i/>
              <w:iCs/>
              <w:sz w:val="20"/>
            </w:rPr>
          </w:pPr>
        </w:p>
      </w:tc>
      <w:tc>
        <w:tcPr>
          <w:tcW w:w="3060" w:type="dxa"/>
          <w:shd w:val="pct12" w:color="auto" w:fill="auto"/>
          <w:vAlign w:val="center"/>
        </w:tcPr>
        <w:p w14:paraId="503E0A8F" w14:textId="77777777" w:rsidR="007917B1" w:rsidRDefault="007917B1" w:rsidP="007917B1">
          <w:pPr>
            <w:jc w:val="center"/>
            <w:rPr>
              <w:b/>
              <w:bCs/>
              <w:i/>
              <w:iCs/>
              <w:sz w:val="20"/>
            </w:rPr>
          </w:pPr>
        </w:p>
      </w:tc>
      <w:tc>
        <w:tcPr>
          <w:tcW w:w="4158" w:type="dxa"/>
          <w:shd w:val="pct12" w:color="auto" w:fill="auto"/>
          <w:vAlign w:val="center"/>
        </w:tcPr>
        <w:p w14:paraId="7727E930" w14:textId="77777777" w:rsidR="007917B1" w:rsidRDefault="007917B1" w:rsidP="007917B1">
          <w:pPr>
            <w:jc w:val="right"/>
            <w:rPr>
              <w:i/>
              <w:iCs/>
              <w:sz w:val="20"/>
            </w:rPr>
          </w:pPr>
          <w:r>
            <w:rPr>
              <w:i/>
              <w:iCs/>
              <w:sz w:val="20"/>
            </w:rPr>
            <w:t>Confidential - Internal Use Only</w:t>
          </w:r>
        </w:p>
      </w:tc>
    </w:tr>
    <w:tr w:rsidR="007917B1" w14:paraId="71B2462A" w14:textId="77777777" w:rsidTr="007917B1">
      <w:trPr>
        <w:cantSplit/>
        <w:trHeight w:val="100"/>
        <w:jc w:val="center"/>
      </w:trPr>
      <w:tc>
        <w:tcPr>
          <w:tcW w:w="2430" w:type="dxa"/>
          <w:shd w:val="pct12" w:color="auto" w:fill="auto"/>
          <w:vAlign w:val="center"/>
        </w:tcPr>
        <w:p w14:paraId="4947EF80" w14:textId="77777777" w:rsidR="007917B1" w:rsidRDefault="007917B1" w:rsidP="007917B1">
          <w:pPr>
            <w:rPr>
              <w:b/>
              <w:i/>
              <w:iCs/>
              <w:sz w:val="20"/>
            </w:rPr>
          </w:pPr>
        </w:p>
      </w:tc>
      <w:tc>
        <w:tcPr>
          <w:tcW w:w="3060" w:type="dxa"/>
          <w:shd w:val="pct12" w:color="auto" w:fill="auto"/>
          <w:vAlign w:val="center"/>
        </w:tcPr>
        <w:p w14:paraId="67BBDAAA" w14:textId="77777777" w:rsidR="007917B1" w:rsidRDefault="007917B1" w:rsidP="007917B1">
          <w:pPr>
            <w:rPr>
              <w:b/>
              <w:i/>
              <w:iCs/>
              <w:sz w:val="20"/>
            </w:rPr>
          </w:pPr>
        </w:p>
      </w:tc>
      <w:tc>
        <w:tcPr>
          <w:tcW w:w="4158" w:type="dxa"/>
          <w:shd w:val="pct12" w:color="auto" w:fill="auto"/>
          <w:vAlign w:val="center"/>
        </w:tcPr>
        <w:p w14:paraId="2CC08B71" w14:textId="77777777" w:rsidR="007917B1" w:rsidRDefault="007917B1" w:rsidP="007917B1">
          <w:pPr>
            <w:jc w:val="right"/>
            <w:rPr>
              <w:i/>
              <w:iCs/>
              <w:sz w:val="20"/>
            </w:rPr>
          </w:pPr>
          <w:r>
            <w:rPr>
              <w:i/>
              <w:iCs/>
              <w:sz w:val="20"/>
            </w:rPr>
            <w:t xml:space="preserve">Page </w:t>
          </w:r>
          <w:r>
            <w:rPr>
              <w:i/>
              <w:iCs/>
              <w:sz w:val="20"/>
            </w:rPr>
            <w:fldChar w:fldCharType="begin"/>
          </w:r>
          <w:r>
            <w:rPr>
              <w:i/>
              <w:iCs/>
              <w:sz w:val="20"/>
            </w:rPr>
            <w:instrText xml:space="preserve"> PAGE </w:instrText>
          </w:r>
          <w:r>
            <w:rPr>
              <w:i/>
              <w:iCs/>
              <w:sz w:val="20"/>
            </w:rPr>
            <w:fldChar w:fldCharType="separate"/>
          </w:r>
          <w:r w:rsidR="00066898">
            <w:rPr>
              <w:i/>
              <w:iCs/>
              <w:noProof/>
              <w:sz w:val="20"/>
            </w:rPr>
            <w:t>1</w:t>
          </w:r>
          <w:r>
            <w:rPr>
              <w:i/>
              <w:iCs/>
              <w:sz w:val="20"/>
            </w:rPr>
            <w:fldChar w:fldCharType="end"/>
          </w:r>
          <w:r>
            <w:rPr>
              <w:i/>
              <w:iCs/>
              <w:sz w:val="20"/>
            </w:rPr>
            <w:t xml:space="preserve"> of </w:t>
          </w:r>
          <w:r>
            <w:rPr>
              <w:i/>
              <w:iCs/>
              <w:sz w:val="20"/>
            </w:rPr>
            <w:fldChar w:fldCharType="begin"/>
          </w:r>
          <w:r>
            <w:rPr>
              <w:i/>
              <w:iCs/>
              <w:sz w:val="20"/>
            </w:rPr>
            <w:instrText xml:space="preserve"> NUMPAGES </w:instrText>
          </w:r>
          <w:r>
            <w:rPr>
              <w:i/>
              <w:iCs/>
              <w:sz w:val="20"/>
            </w:rPr>
            <w:fldChar w:fldCharType="separate"/>
          </w:r>
          <w:r w:rsidR="00066898">
            <w:rPr>
              <w:i/>
              <w:iCs/>
              <w:noProof/>
              <w:sz w:val="20"/>
            </w:rPr>
            <w:t>1</w:t>
          </w:r>
          <w:r>
            <w:rPr>
              <w:i/>
              <w:iCs/>
              <w:sz w:val="20"/>
            </w:rPr>
            <w:fldChar w:fldCharType="end"/>
          </w:r>
        </w:p>
      </w:tc>
    </w:tr>
  </w:tbl>
  <w:p w14:paraId="5F3AAA79" w14:textId="77777777" w:rsidR="007917B1" w:rsidRDefault="0079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876E" w14:textId="77777777" w:rsidR="00F5188C" w:rsidRDefault="00F5188C" w:rsidP="002F5371">
      <w:r>
        <w:separator/>
      </w:r>
    </w:p>
  </w:footnote>
  <w:footnote w:type="continuationSeparator" w:id="0">
    <w:p w14:paraId="5ED96F86" w14:textId="77777777" w:rsidR="00F5188C" w:rsidRDefault="00F5188C" w:rsidP="002F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73F9" w14:textId="77777777" w:rsidR="00600395" w:rsidRDefault="00600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72" w:type="dxa"/>
      <w:tblLayout w:type="fixed"/>
      <w:tblLook w:val="0000" w:firstRow="0" w:lastRow="0" w:firstColumn="0" w:lastColumn="0" w:noHBand="0" w:noVBand="0"/>
    </w:tblPr>
    <w:tblGrid>
      <w:gridCol w:w="3240"/>
      <w:gridCol w:w="6300"/>
    </w:tblGrid>
    <w:tr w:rsidR="007917B1" w14:paraId="3F5BBAE2" w14:textId="77777777" w:rsidTr="007917B1">
      <w:trPr>
        <w:cantSplit/>
        <w:trHeight w:val="234"/>
      </w:trPr>
      <w:tc>
        <w:tcPr>
          <w:tcW w:w="3240" w:type="dxa"/>
          <w:shd w:val="pct12" w:color="auto" w:fill="auto"/>
        </w:tcPr>
        <w:p w14:paraId="7302DA0F" w14:textId="5CA95069" w:rsidR="007917B1" w:rsidRDefault="007917B1" w:rsidP="007917B1">
          <w:pPr>
            <w:spacing w:before="20"/>
            <w:ind w:left="-57"/>
            <w:rPr>
              <w:sz w:val="20"/>
            </w:rPr>
          </w:pPr>
          <w:bookmarkStart w:id="0" w:name="_GoBack"/>
          <w:bookmarkEnd w:id="0"/>
        </w:p>
      </w:tc>
      <w:tc>
        <w:tcPr>
          <w:tcW w:w="6300" w:type="dxa"/>
          <w:shd w:val="pct12" w:color="auto" w:fill="auto"/>
        </w:tcPr>
        <w:p w14:paraId="4F746536" w14:textId="77777777" w:rsidR="007917B1" w:rsidRDefault="007917B1" w:rsidP="007917B1">
          <w:pPr>
            <w:pStyle w:val="Header"/>
            <w:rPr>
              <w:sz w:val="20"/>
            </w:rPr>
          </w:pPr>
          <w:r>
            <w:rPr>
              <w:sz w:val="20"/>
            </w:rPr>
            <w:t>Information Security Policy</w:t>
          </w:r>
        </w:p>
      </w:tc>
    </w:tr>
  </w:tbl>
  <w:p w14:paraId="3D1D4A04" w14:textId="77777777" w:rsidR="007917B1" w:rsidRDefault="007917B1" w:rsidP="007917B1">
    <w:pPr>
      <w:pStyle w:val="Header"/>
    </w:pPr>
  </w:p>
  <w:p w14:paraId="27AD5418" w14:textId="77777777" w:rsidR="007917B1" w:rsidRPr="002A3EBF" w:rsidRDefault="007917B1" w:rsidP="007917B1">
    <w:pPr>
      <w:pStyle w:val="Header"/>
    </w:pPr>
    <w:r>
      <w:rPr>
        <w:noProof/>
        <w:sz w:val="20"/>
      </w:rPr>
      <w:drawing>
        <wp:anchor distT="0" distB="0" distL="114300" distR="114300" simplePos="0" relativeHeight="251660288" behindDoc="0" locked="0" layoutInCell="1" allowOverlap="1" wp14:anchorId="21DFC133" wp14:editId="200392AD">
          <wp:simplePos x="0" y="0"/>
          <wp:positionH relativeFrom="column">
            <wp:posOffset>-13970</wp:posOffset>
          </wp:positionH>
          <wp:positionV relativeFrom="paragraph">
            <wp:posOffset>15240</wp:posOffset>
          </wp:positionV>
          <wp:extent cx="5957570" cy="125095"/>
          <wp:effectExtent l="0" t="0" r="5080" b="8255"/>
          <wp:wrapNone/>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7570" cy="125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72" w:type="dxa"/>
      <w:tblLayout w:type="fixed"/>
      <w:tblLook w:val="0000" w:firstRow="0" w:lastRow="0" w:firstColumn="0" w:lastColumn="0" w:noHBand="0" w:noVBand="0"/>
    </w:tblPr>
    <w:tblGrid>
      <w:gridCol w:w="3240"/>
      <w:gridCol w:w="6300"/>
    </w:tblGrid>
    <w:tr w:rsidR="007917B1" w14:paraId="5B9A335C" w14:textId="77777777" w:rsidTr="007917B1">
      <w:trPr>
        <w:cantSplit/>
        <w:trHeight w:val="234"/>
      </w:trPr>
      <w:tc>
        <w:tcPr>
          <w:tcW w:w="3240" w:type="dxa"/>
          <w:shd w:val="pct12" w:color="auto" w:fill="auto"/>
        </w:tcPr>
        <w:p w14:paraId="37C49983" w14:textId="2A99E5BC" w:rsidR="007917B1" w:rsidRDefault="007917B1" w:rsidP="007917B1">
          <w:pPr>
            <w:spacing w:before="20"/>
            <w:ind w:left="-57"/>
            <w:rPr>
              <w:sz w:val="20"/>
            </w:rPr>
          </w:pPr>
        </w:p>
      </w:tc>
      <w:tc>
        <w:tcPr>
          <w:tcW w:w="6300" w:type="dxa"/>
          <w:shd w:val="pct12" w:color="auto" w:fill="auto"/>
        </w:tcPr>
        <w:p w14:paraId="0C4203D8" w14:textId="019D5D87" w:rsidR="007917B1" w:rsidRDefault="007917B1" w:rsidP="007917B1">
          <w:pPr>
            <w:pStyle w:val="Header"/>
            <w:rPr>
              <w:sz w:val="20"/>
            </w:rPr>
          </w:pPr>
          <w:r>
            <w:rPr>
              <w:sz w:val="20"/>
            </w:rPr>
            <w:t>Incident Response Plan</w:t>
          </w:r>
        </w:p>
      </w:tc>
    </w:tr>
  </w:tbl>
  <w:p w14:paraId="45B12B9C" w14:textId="77777777" w:rsidR="007917B1" w:rsidRDefault="00791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07F"/>
    <w:multiLevelType w:val="hybridMultilevel"/>
    <w:tmpl w:val="7792B7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E5437"/>
    <w:multiLevelType w:val="hybridMultilevel"/>
    <w:tmpl w:val="EF181D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131DA"/>
    <w:multiLevelType w:val="hybridMultilevel"/>
    <w:tmpl w:val="5FF255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1E2941"/>
    <w:multiLevelType w:val="hybridMultilevel"/>
    <w:tmpl w:val="BFCCA2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393217"/>
    <w:multiLevelType w:val="hybridMultilevel"/>
    <w:tmpl w:val="D8E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20199"/>
    <w:multiLevelType w:val="hybridMultilevel"/>
    <w:tmpl w:val="0CE86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A665D9"/>
    <w:multiLevelType w:val="hybridMultilevel"/>
    <w:tmpl w:val="0958F1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3">
      <w:start w:val="1"/>
      <w:numFmt w:val="bullet"/>
      <w:lvlText w:val="o"/>
      <w:lvlJc w:val="left"/>
      <w:pPr>
        <w:tabs>
          <w:tab w:val="num" w:pos="2160"/>
        </w:tabs>
        <w:ind w:left="2160" w:hanging="360"/>
      </w:pPr>
      <w:rPr>
        <w:rFonts w:ascii="Courier New" w:hAnsi="Courier New" w:cs="Courier New"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74426DE"/>
    <w:multiLevelType w:val="hybridMultilevel"/>
    <w:tmpl w:val="4A9215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55C1B"/>
    <w:multiLevelType w:val="hybridMultilevel"/>
    <w:tmpl w:val="A936F0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EC3715"/>
    <w:multiLevelType w:val="hybridMultilevel"/>
    <w:tmpl w:val="6BA645B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8D01B6"/>
    <w:multiLevelType w:val="hybridMultilevel"/>
    <w:tmpl w:val="900457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3"/>
  </w:num>
  <w:num w:numId="5">
    <w:abstractNumId w:val="0"/>
  </w:num>
  <w:num w:numId="6">
    <w:abstractNumId w:val="9"/>
  </w:num>
  <w:num w:numId="7">
    <w:abstractNumId w:val="2"/>
  </w:num>
  <w:num w:numId="8">
    <w:abstractNumId w:val="5"/>
  </w:num>
  <w:num w:numId="9">
    <w:abstractNumId w:val="8"/>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371"/>
    <w:rsid w:val="00003B44"/>
    <w:rsid w:val="00066898"/>
    <w:rsid w:val="002F5371"/>
    <w:rsid w:val="00600395"/>
    <w:rsid w:val="00633EA5"/>
    <w:rsid w:val="00661A18"/>
    <w:rsid w:val="00766B8F"/>
    <w:rsid w:val="007917B1"/>
    <w:rsid w:val="00855FE4"/>
    <w:rsid w:val="0093153E"/>
    <w:rsid w:val="00940E0F"/>
    <w:rsid w:val="009D04C9"/>
    <w:rsid w:val="00C4523A"/>
    <w:rsid w:val="00CE31CE"/>
    <w:rsid w:val="00E359BB"/>
    <w:rsid w:val="00F51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3E9D5"/>
  <w14:defaultImageDpi w14:val="300"/>
  <w15:docId w15:val="{139E6563-C60A-A143-BC75-78E8A5D6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371"/>
    <w:rPr>
      <w:rFonts w:ascii="Times New Roman" w:eastAsia="Times New Roman" w:hAnsi="Times New Roman" w:cs="Times New Roman"/>
    </w:rPr>
  </w:style>
  <w:style w:type="paragraph" w:styleId="Heading1">
    <w:name w:val="heading 1"/>
    <w:basedOn w:val="Normal"/>
    <w:next w:val="Normal"/>
    <w:link w:val="Heading1Char"/>
    <w:qFormat/>
    <w:rsid w:val="002F537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2F537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371"/>
    <w:rPr>
      <w:rFonts w:ascii="Arial" w:eastAsia="Times New Roman" w:hAnsi="Arial" w:cs="Arial"/>
      <w:b/>
      <w:bCs/>
      <w:kern w:val="32"/>
      <w:sz w:val="32"/>
      <w:szCs w:val="32"/>
    </w:rPr>
  </w:style>
  <w:style w:type="character" w:customStyle="1" w:styleId="Heading2Char">
    <w:name w:val="Heading 2 Char"/>
    <w:basedOn w:val="DefaultParagraphFont"/>
    <w:link w:val="Heading2"/>
    <w:rsid w:val="002F5371"/>
    <w:rPr>
      <w:rFonts w:ascii="Times New Roman" w:eastAsia="Times New Roman" w:hAnsi="Times New Roman" w:cs="Times New Roman"/>
      <w:b/>
      <w:bCs/>
      <w:sz w:val="36"/>
      <w:szCs w:val="36"/>
    </w:rPr>
  </w:style>
  <w:style w:type="paragraph" w:styleId="Header">
    <w:name w:val="header"/>
    <w:basedOn w:val="Normal"/>
    <w:link w:val="HeaderChar"/>
    <w:rsid w:val="002F5371"/>
    <w:pPr>
      <w:tabs>
        <w:tab w:val="center" w:pos="4320"/>
        <w:tab w:val="right" w:pos="8640"/>
      </w:tabs>
    </w:pPr>
  </w:style>
  <w:style w:type="character" w:customStyle="1" w:styleId="HeaderChar">
    <w:name w:val="Header Char"/>
    <w:basedOn w:val="DefaultParagraphFont"/>
    <w:link w:val="Header"/>
    <w:uiPriority w:val="99"/>
    <w:rsid w:val="002F5371"/>
    <w:rPr>
      <w:rFonts w:ascii="Times New Roman" w:eastAsia="Times New Roman" w:hAnsi="Times New Roman" w:cs="Times New Roman"/>
    </w:rPr>
  </w:style>
  <w:style w:type="paragraph" w:styleId="Footer">
    <w:name w:val="footer"/>
    <w:basedOn w:val="Normal"/>
    <w:link w:val="FooterChar"/>
    <w:rsid w:val="002F5371"/>
    <w:pPr>
      <w:tabs>
        <w:tab w:val="center" w:pos="4320"/>
        <w:tab w:val="right" w:pos="8640"/>
      </w:tabs>
    </w:pPr>
  </w:style>
  <w:style w:type="character" w:customStyle="1" w:styleId="FooterChar">
    <w:name w:val="Footer Char"/>
    <w:basedOn w:val="DefaultParagraphFont"/>
    <w:link w:val="Footer"/>
    <w:rsid w:val="002F5371"/>
    <w:rPr>
      <w:rFonts w:ascii="Times New Roman" w:eastAsia="Times New Roman" w:hAnsi="Times New Roman" w:cs="Times New Roman"/>
    </w:rPr>
  </w:style>
  <w:style w:type="paragraph" w:styleId="BodyText">
    <w:name w:val="Body Text"/>
    <w:basedOn w:val="Normal"/>
    <w:link w:val="BodyTextChar"/>
    <w:rsid w:val="002F5371"/>
    <w:pPr>
      <w:jc w:val="both"/>
    </w:pPr>
  </w:style>
  <w:style w:type="character" w:customStyle="1" w:styleId="BodyTextChar">
    <w:name w:val="Body Text Char"/>
    <w:basedOn w:val="DefaultParagraphFont"/>
    <w:link w:val="BodyText"/>
    <w:rsid w:val="002F5371"/>
    <w:rPr>
      <w:rFonts w:ascii="Times New Roman" w:eastAsia="Times New Roman" w:hAnsi="Times New Roman" w:cs="Times New Roman"/>
    </w:rPr>
  </w:style>
  <w:style w:type="paragraph" w:customStyle="1" w:styleId="Body">
    <w:name w:val="Body"/>
    <w:rsid w:val="002F5371"/>
    <w:pPr>
      <w:spacing w:before="120"/>
      <w:jc w:val="both"/>
    </w:pPr>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2F5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371"/>
    <w:rPr>
      <w:rFonts w:ascii="Lucida Grande" w:eastAsia="Times New Roman" w:hAnsi="Lucida Grande" w:cs="Lucida Grande"/>
      <w:sz w:val="18"/>
      <w:szCs w:val="18"/>
    </w:rPr>
  </w:style>
  <w:style w:type="paragraph" w:styleId="BodyText2">
    <w:name w:val="Body Text 2"/>
    <w:basedOn w:val="Normal"/>
    <w:link w:val="BodyText2Char"/>
    <w:uiPriority w:val="99"/>
    <w:unhideWhenUsed/>
    <w:rsid w:val="002F5371"/>
    <w:pPr>
      <w:spacing w:after="120" w:line="480" w:lineRule="auto"/>
    </w:pPr>
  </w:style>
  <w:style w:type="character" w:customStyle="1" w:styleId="BodyText2Char">
    <w:name w:val="Body Text 2 Char"/>
    <w:basedOn w:val="DefaultParagraphFont"/>
    <w:link w:val="BodyText2"/>
    <w:uiPriority w:val="99"/>
    <w:rsid w:val="002F53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4927</Characters>
  <Application>Microsoft Office Word</Application>
  <DocSecurity>0</DocSecurity>
  <Lines>41</Lines>
  <Paragraphs>11</Paragraphs>
  <ScaleCrop>false</ScaleCrop>
  <Company>Havas</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Tanner</dc:creator>
  <cp:keywords/>
  <dc:description/>
  <cp:lastModifiedBy>Flaagan, Tyler</cp:lastModifiedBy>
  <cp:revision>4</cp:revision>
  <cp:lastPrinted>2014-01-20T20:23:00Z</cp:lastPrinted>
  <dcterms:created xsi:type="dcterms:W3CDTF">2014-06-05T18:57:00Z</dcterms:created>
  <dcterms:modified xsi:type="dcterms:W3CDTF">2018-05-30T17:59:00Z</dcterms:modified>
</cp:coreProperties>
</file>